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0"/>
        <w:jc w:val="center"/>
      </w:pPr>
      <w:r>
        <w:rPr>
          <w:rFonts w:ascii="Aptos Display" w:hAnsi="Aptos Display"/>
          <w:b/>
          <w:sz w:val="64"/>
        </w:rPr>
        <w:t>CODE OF CONDUCT</w:t>
      </w:r>
    </w:p>
    <w:p>
      <w:pPr>
        <w:jc w:val="center"/>
      </w:pPr>
      <w:r>
        <w:rPr>
          <w:i/>
          <w:sz w:val="28"/>
        </w:rPr>
        <w:t>Building the company we want to work for</w:t>
      </w:r>
    </w:p>
    <w:p/>
    <w:tbl>
      <w:tblPr>
        <w:tblW w:type="auto" w:w="0"/>
        <w:jc w:val="center"/>
        <w:tblLayout w:type="fixed"/>
        <w:tblLook w:firstColumn="1" w:firstRow="1" w:lastColumn="0" w:lastRow="0" w:noHBand="0" w:noVBand="1" w:val="04A0"/>
      </w:tblPr>
      <w:tblGrid>
        <w:gridCol w:w="4896"/>
        <w:gridCol w:w="4896"/>
      </w:tblGrid>
      <w:tr>
        <w:tc>
          <w:tcPr>
            <w:tcW w:type="dxa" w:w="2448"/>
            <w:vAlign w:val="center"/>
            <w:shd w:fill="EDEDED"/>
          </w:tcPr>
          <w:p>
            <w:r/>
            <w:r>
              <w:rPr>
                <w:rFonts w:ascii="Aptos" w:hAnsi="Aptos"/>
                <w:b/>
                <w:sz w:val="19"/>
              </w:rPr>
              <w:t>Document</w:t>
            </w:r>
          </w:p>
        </w:tc>
        <w:tc>
          <w:tcPr>
            <w:tcW w:type="dxa" w:w="6912"/>
            <w:vAlign w:val="center"/>
          </w:tcPr>
          <w:p>
            <w:r/>
            <w:r>
              <w:rPr>
                <w:rFonts w:ascii="Aptos" w:hAnsi="Aptos"/>
                <w:b w:val="0"/>
                <w:sz w:val="19"/>
              </w:rPr>
              <w:t>Code of Conduct</w:t>
            </w:r>
          </w:p>
        </w:tc>
      </w:tr>
      <w:tr>
        <w:tc>
          <w:tcPr>
            <w:tcW w:type="dxa" w:w="2448"/>
            <w:vAlign w:val="center"/>
            <w:shd w:fill="EDEDED"/>
          </w:tcPr>
          <w:p>
            <w:r/>
            <w:r>
              <w:rPr>
                <w:rFonts w:ascii="Aptos" w:hAnsi="Aptos"/>
                <w:b/>
                <w:sz w:val="19"/>
              </w:rPr>
              <w:t>Version</w:t>
            </w:r>
          </w:p>
        </w:tc>
        <w:tc>
          <w:tcPr>
            <w:tcW w:type="dxa" w:w="6912"/>
            <w:vAlign w:val="center"/>
          </w:tcPr>
          <w:p>
            <w:r/>
            <w:r>
              <w:rPr>
                <w:rFonts w:ascii="Aptos" w:hAnsi="Aptos"/>
                <w:b w:val="0"/>
                <w:sz w:val="19"/>
              </w:rPr>
              <w:t>1.0</w:t>
            </w:r>
          </w:p>
        </w:tc>
      </w:tr>
      <w:tr>
        <w:tc>
          <w:tcPr>
            <w:tcW w:type="dxa" w:w="2448"/>
            <w:vAlign w:val="center"/>
            <w:shd w:fill="EDEDED"/>
          </w:tcPr>
          <w:p>
            <w:r/>
            <w:r>
              <w:rPr>
                <w:rFonts w:ascii="Aptos" w:hAnsi="Aptos"/>
                <w:b/>
                <w:sz w:val="19"/>
              </w:rPr>
              <w:t>Effective Date</w:t>
            </w:r>
          </w:p>
        </w:tc>
        <w:tc>
          <w:tcPr>
            <w:tcW w:type="dxa" w:w="6912"/>
            <w:vAlign w:val="center"/>
          </w:tcPr>
          <w:p>
            <w:r/>
            <w:r>
              <w:rPr>
                <w:rFonts w:ascii="Aptos" w:hAnsi="Aptos"/>
                <w:b w:val="0"/>
                <w:sz w:val="19"/>
              </w:rPr>
              <w:t>Upon Company Formation</w:t>
            </w:r>
          </w:p>
        </w:tc>
      </w:tr>
      <w:tr>
        <w:tc>
          <w:tcPr>
            <w:tcW w:type="dxa" w:w="2448"/>
            <w:vAlign w:val="center"/>
            <w:shd w:fill="EDEDED"/>
          </w:tcPr>
          <w:p>
            <w:r/>
            <w:r>
              <w:rPr>
                <w:rFonts w:ascii="Aptos" w:hAnsi="Aptos"/>
                <w:b/>
                <w:sz w:val="19"/>
              </w:rPr>
              <w:t>Owner</w:t>
            </w:r>
          </w:p>
        </w:tc>
        <w:tc>
          <w:tcPr>
            <w:tcW w:type="dxa" w:w="6912"/>
            <w:vAlign w:val="center"/>
          </w:tcPr>
          <w:p>
            <w:r/>
            <w:r>
              <w:rPr>
                <w:rFonts w:ascii="Aptos" w:hAnsi="Aptos"/>
                <w:b w:val="0"/>
                <w:sz w:val="19"/>
              </w:rPr>
              <w:t>Founders / Executive Leadership</w:t>
            </w:r>
          </w:p>
        </w:tc>
      </w:tr>
    </w:tbl>
    <w:p>
      <w:r>
        <w:br w:type="page"/>
      </w:r>
    </w:p>
    <w:p>
      <w:pPr>
        <w:pStyle w:val="Heading1"/>
      </w:pPr>
      <w:r>
        <w:t>1. Purpose and Commitment</w:t>
      </w:r>
    </w:p>
    <w:p>
      <w:r>
        <w:t>This Code of Conduct establishes the standards of behavior and decision-making that guide our company from its earliest days. It applies to founders, employees, contractors, officers, directors, interns, and anyone acting on behalf of the company.</w:t>
      </w:r>
    </w:p>
    <w:p>
      <w:r>
        <w:t>We are building more than a product or business. We are building a culture based on trust, respect, integrity, accountability, and responsible innovation. Every person at the company is expected to protect that culture through their actions.</w:t>
      </w:r>
    </w:p>
    <w:p>
      <w:pPr>
        <w:pStyle w:val="Heading1"/>
      </w:pPr>
      <w:r>
        <w:t>2. Our Core Principles</w:t>
      </w:r>
    </w:p>
    <w:p>
      <w:pPr>
        <w:spacing w:after="100"/>
      </w:pPr>
      <w:r>
        <w:rPr>
          <w:b/>
        </w:rPr>
        <w:t xml:space="preserve">Integrity — </w:t>
      </w:r>
      <w:r>
        <w:t>We do the right thing, especially when doing so is difficult or inconvenient.</w:t>
      </w:r>
    </w:p>
    <w:p>
      <w:pPr>
        <w:spacing w:after="100"/>
      </w:pPr>
      <w:r>
        <w:rPr>
          <w:b/>
        </w:rPr>
        <w:t xml:space="preserve">Respect — </w:t>
      </w:r>
      <w:r>
        <w:t>We treat colleagues, customers, partners, and communities with dignity and professionalism.</w:t>
      </w:r>
    </w:p>
    <w:p>
      <w:pPr>
        <w:spacing w:after="100"/>
      </w:pPr>
      <w:r>
        <w:rPr>
          <w:b/>
        </w:rPr>
        <w:t xml:space="preserve">Accountability — </w:t>
      </w:r>
      <w:r>
        <w:t>We own our decisions, communicate openly, and learn from mistakes.</w:t>
      </w:r>
    </w:p>
    <w:p>
      <w:pPr>
        <w:spacing w:after="100"/>
      </w:pPr>
      <w:r>
        <w:rPr>
          <w:b/>
        </w:rPr>
        <w:t xml:space="preserve">Customer Trust — </w:t>
      </w:r>
      <w:r>
        <w:t>We protect the interests, data, security, and trust of our customers.</w:t>
      </w:r>
    </w:p>
    <w:p>
      <w:pPr>
        <w:spacing w:after="100"/>
      </w:pPr>
      <w:r>
        <w:rPr>
          <w:b/>
        </w:rPr>
        <w:t xml:space="preserve">Inclusion — </w:t>
      </w:r>
      <w:r>
        <w:t>We value different backgrounds, perspectives, experiences, and ways of thinking.</w:t>
      </w:r>
    </w:p>
    <w:p>
      <w:pPr>
        <w:spacing w:after="100"/>
      </w:pPr>
      <w:r>
        <w:rPr>
          <w:b/>
        </w:rPr>
        <w:t xml:space="preserve">Excellence — </w:t>
      </w:r>
      <w:r>
        <w:t>We aim for high standards while recognizing that sustainable excellence requires curiosity, humility, and teamwork.</w:t>
      </w:r>
    </w:p>
    <w:p>
      <w:pPr>
        <w:spacing w:after="100"/>
      </w:pPr>
      <w:r>
        <w:rPr>
          <w:b/>
        </w:rPr>
        <w:t xml:space="preserve">Responsible Innovation — </w:t>
      </w:r>
      <w:r>
        <w:t>We consider the broader impact of what we build and how we operate.</w:t>
      </w:r>
    </w:p>
    <w:p>
      <w:pPr>
        <w:pStyle w:val="Heading1"/>
      </w:pPr>
      <w:r>
        <w:t>3. Respectful and Inclusive Workplace</w:t>
      </w:r>
    </w:p>
    <w:p>
      <w:r>
        <w:t>We expect a workplace where people can contribute, disagree, learn, and succeed without fear of harassment, bullying, discrimination, intimidation, or retaliation.</w:t>
      </w:r>
    </w:p>
    <w:p>
      <w:pPr>
        <w:pStyle w:val="ListBullet"/>
        <w:spacing w:after="60"/>
      </w:pPr>
      <w:r>
        <w:t>Treat people professionally, regardless of role, seniority, background, identity, or personal beliefs.</w:t>
      </w:r>
    </w:p>
    <w:p>
      <w:pPr>
        <w:pStyle w:val="ListBullet"/>
        <w:spacing w:after="60"/>
      </w:pPr>
      <w:r>
        <w:t>Do not tolerate harassment, discrimination, threats, humiliation, or abusive behavior.</w:t>
      </w:r>
    </w:p>
    <w:p>
      <w:pPr>
        <w:pStyle w:val="ListBullet"/>
        <w:spacing w:after="60"/>
      </w:pPr>
      <w:r>
        <w:t>Challenge ideas without attacking the person presenting them.</w:t>
      </w:r>
    </w:p>
    <w:p>
      <w:pPr>
        <w:pStyle w:val="ListBullet"/>
        <w:spacing w:after="60"/>
      </w:pPr>
      <w:r>
        <w:t>Make reasonable efforts to ensure meetings, communication, and opportunities are inclusive and accessible.</w:t>
      </w:r>
    </w:p>
    <w:p>
      <w:pPr>
        <w:pStyle w:val="ListBullet"/>
        <w:spacing w:after="60"/>
      </w:pPr>
      <w:r>
        <w:t>Respect professional boundaries and personal time.</w:t>
      </w:r>
    </w:p>
    <w:p>
      <w:pPr>
        <w:pStyle w:val="Heading1"/>
      </w:pPr>
      <w:r>
        <w:t>4. Ethical Business Practices</w:t>
      </w:r>
    </w:p>
    <w:p>
      <w:r>
        <w:t>We compete fairly and honestly. Business performance never excuses unethical conduct.</w:t>
      </w:r>
    </w:p>
    <w:p>
      <w:pPr>
        <w:pStyle w:val="ListBullet"/>
        <w:spacing w:after="60"/>
      </w:pPr>
      <w:r>
        <w:t>Do not offer, request, authorize, or accept bribes or improper payments.</w:t>
      </w:r>
    </w:p>
    <w:p>
      <w:pPr>
        <w:pStyle w:val="ListBullet"/>
        <w:spacing w:after="60"/>
      </w:pPr>
      <w:r>
        <w:t>Avoid deceptive, misleading, or intentionally incomplete representations to customers, partners, investors, or colleagues.</w:t>
      </w:r>
    </w:p>
    <w:p>
      <w:pPr>
        <w:pStyle w:val="ListBullet"/>
        <w:spacing w:after="60"/>
      </w:pPr>
      <w:r>
        <w:t>Follow applicable laws, regulations, contractual commitments, and company policies.</w:t>
      </w:r>
    </w:p>
    <w:p>
      <w:pPr>
        <w:pStyle w:val="ListBullet"/>
        <w:spacing w:after="60"/>
      </w:pPr>
      <w:r>
        <w:t>Do not misuse confidential information for personal benefit.</w:t>
      </w:r>
    </w:p>
    <w:p>
      <w:pPr>
        <w:pStyle w:val="ListBullet"/>
        <w:spacing w:after="60"/>
      </w:pPr>
      <w:r>
        <w:t>Maintain accurate business, financial, operational, and security records.</w:t>
      </w:r>
    </w:p>
    <w:p>
      <w:pPr>
        <w:pStyle w:val="ListBullet"/>
        <w:spacing w:after="60"/>
      </w:pPr>
      <w:r>
        <w:t>Disclose material conflicts of interest and seek guidance when personal interests could affect business judgment.</w:t>
      </w:r>
    </w:p>
    <w:p>
      <w:pPr>
        <w:pStyle w:val="Heading1"/>
      </w:pPr>
      <w:r>
        <w:t>5. Conflicts of Interest</w:t>
      </w:r>
    </w:p>
    <w:p>
      <w:r>
        <w:t>Employees and representatives must make decisions in the company's best interests. A conflict can arise when personal, financial, family, outside-business, or other interests could influence—or reasonably appear to influence—professional judgment.</w:t>
      </w:r>
    </w:p>
    <w:p>
      <w:pPr>
        <w:pStyle w:val="ListBullet"/>
        <w:spacing w:after="60"/>
      </w:pPr>
      <w:r>
        <w:t>Disclose actual, potential, or perceived conflicts promptly.</w:t>
      </w:r>
    </w:p>
    <w:p>
      <w:pPr>
        <w:pStyle w:val="ListBullet"/>
        <w:spacing w:after="60"/>
      </w:pPr>
      <w:r>
        <w:t>Do not use company opportunities, information, property, or relationships for unauthorized personal gain.</w:t>
      </w:r>
    </w:p>
    <w:p>
      <w:pPr>
        <w:pStyle w:val="ListBullet"/>
        <w:spacing w:after="60"/>
      </w:pPr>
      <w:r>
        <w:t>Do not participate in decisions where you have an undisclosed material conflict.</w:t>
      </w:r>
    </w:p>
    <w:p>
      <w:pPr>
        <w:pStyle w:val="ListBullet"/>
        <w:spacing w:after="60"/>
      </w:pPr>
      <w:r>
        <w:t>When uncertain, disclose the situation and ask for guidance rather than attempting to resolve the conflict privately.</w:t>
      </w:r>
    </w:p>
    <w:p>
      <w:pPr>
        <w:pStyle w:val="Heading1"/>
      </w:pPr>
      <w:r>
        <w:t>6. Confidentiality, Privacy, and Information Security</w:t>
      </w:r>
    </w:p>
    <w:p>
      <w:r>
        <w:t>Trust depends on protecting information. Company information, customer data, intellectual property, credentials, and other sensitive information must be handled responsibly.</w:t>
      </w:r>
    </w:p>
    <w:p>
      <w:pPr>
        <w:pStyle w:val="ListBullet"/>
        <w:spacing w:after="60"/>
      </w:pPr>
      <w:r>
        <w:t>Access information only when you are authorized and have a legitimate business need.</w:t>
      </w:r>
    </w:p>
    <w:p>
      <w:pPr>
        <w:pStyle w:val="ListBullet"/>
        <w:spacing w:after="60"/>
      </w:pPr>
      <w:r>
        <w:t>Protect passwords, credentials, keys, tokens, devices, and other access mechanisms.</w:t>
      </w:r>
    </w:p>
    <w:p>
      <w:pPr>
        <w:pStyle w:val="ListBullet"/>
        <w:spacing w:after="60"/>
      </w:pPr>
      <w:r>
        <w:t>Use approved systems and secure practices for storing, transmitting, and sharing sensitive information.</w:t>
      </w:r>
    </w:p>
    <w:p>
      <w:pPr>
        <w:pStyle w:val="ListBullet"/>
        <w:spacing w:after="60"/>
      </w:pPr>
      <w:r>
        <w:t>Respect privacy and applicable data-protection requirements.</w:t>
      </w:r>
    </w:p>
    <w:p>
      <w:pPr>
        <w:pStyle w:val="ListBullet"/>
        <w:spacing w:after="60"/>
      </w:pPr>
      <w:r>
        <w:t>Report suspected security incidents, data loss, unauthorized access, or accidental disclosure immediately.</w:t>
      </w:r>
    </w:p>
    <w:p>
      <w:pPr>
        <w:pStyle w:val="ListBullet"/>
        <w:spacing w:after="60"/>
      </w:pPr>
      <w:r>
        <w:t>Do not copy, disclose, or use confidential information after leaving the company.</w:t>
      </w:r>
    </w:p>
    <w:p>
      <w:pPr>
        <w:pStyle w:val="Heading1"/>
      </w:pPr>
      <w:r>
        <w:t>7. Responsible Use of Technology and Artificial Intelligence</w:t>
      </w:r>
    </w:p>
    <w:p>
      <w:r>
        <w:t>Technology is central to our business, and we expect it to be used responsibly. Artificial intelligence and automated systems must be developed and used with appropriate human oversight, security, privacy, and awareness of limitations.</w:t>
      </w:r>
    </w:p>
    <w:p>
      <w:pPr>
        <w:pStyle w:val="ListBullet"/>
        <w:spacing w:after="60"/>
      </w:pPr>
      <w:r>
        <w:t>Do not enter confidential, proprietary, personal, or customer-restricted information into tools that are not approved for that information.</w:t>
      </w:r>
    </w:p>
    <w:p>
      <w:pPr>
        <w:pStyle w:val="ListBullet"/>
        <w:spacing w:after="60"/>
      </w:pPr>
      <w:r>
        <w:t>Validate important AI-generated outputs before relying on them.</w:t>
      </w:r>
    </w:p>
    <w:p>
      <w:pPr>
        <w:pStyle w:val="ListBullet"/>
        <w:spacing w:after="60"/>
      </w:pPr>
      <w:r>
        <w:t>Do not represent AI-generated material as independently verified when it has not been reviewed.</w:t>
      </w:r>
    </w:p>
    <w:p>
      <w:pPr>
        <w:pStyle w:val="ListBullet"/>
        <w:spacing w:after="60"/>
      </w:pPr>
      <w:r>
        <w:t>Consider security, privacy, bias, reliability, intellectual-property, and safety implications when building or deploying AI systems.</w:t>
      </w:r>
    </w:p>
    <w:p>
      <w:pPr>
        <w:pStyle w:val="ListBullet"/>
        <w:spacing w:after="60"/>
      </w:pPr>
      <w:r>
        <w:t>Keep humans accountable for consequential decisions; automation does not remove responsibility.</w:t>
      </w:r>
    </w:p>
    <w:p>
      <w:pPr>
        <w:pStyle w:val="Heading1"/>
      </w:pPr>
      <w:r>
        <w:t>8. Intellectual Property and Company Assets</w:t>
      </w:r>
    </w:p>
    <w:p>
      <w:pPr>
        <w:pStyle w:val="ListBullet"/>
        <w:spacing w:after="60"/>
      </w:pPr>
      <w:r>
        <w:t>Protect company intellectual property and respect the intellectual property rights of others.</w:t>
      </w:r>
    </w:p>
    <w:p>
      <w:pPr>
        <w:pStyle w:val="ListBullet"/>
        <w:spacing w:after="60"/>
      </w:pPr>
      <w:r>
        <w:t>Use company equipment, software, accounts, funds, and services primarily for legitimate business purposes.</w:t>
      </w:r>
    </w:p>
    <w:p>
      <w:pPr>
        <w:pStyle w:val="ListBullet"/>
        <w:spacing w:after="60"/>
      </w:pPr>
      <w:r>
        <w:t>Do not install unauthorized software or circumvent security controls.</w:t>
      </w:r>
    </w:p>
    <w:p>
      <w:pPr>
        <w:pStyle w:val="ListBullet"/>
        <w:spacing w:after="60"/>
      </w:pPr>
      <w:r>
        <w:t>Return company property and preserve company information when employment or engagement ends.</w:t>
      </w:r>
    </w:p>
    <w:p>
      <w:pPr>
        <w:pStyle w:val="ListBullet"/>
        <w:spacing w:after="60"/>
      </w:pPr>
      <w:r>
        <w:t>Report suspected theft, misuse, infringement, or unauthorized disclosure of company assets.</w:t>
      </w:r>
    </w:p>
    <w:p>
      <w:pPr>
        <w:pStyle w:val="Heading1"/>
      </w:pPr>
      <w:r>
        <w:t>9. Gifts, Hospitality, and Business Relationships</w:t>
      </w:r>
    </w:p>
    <w:p>
      <w:r>
        <w:t>Reasonable business hospitality can support professional relationships, but gifts or benefits must never compromise independent judgment or create an improper obligation.</w:t>
      </w:r>
    </w:p>
    <w:p>
      <w:pPr>
        <w:pStyle w:val="ListBullet"/>
        <w:spacing w:after="60"/>
      </w:pPr>
      <w:r>
        <w:t>Do not accept or provide anything intended to influence a business decision improperly.</w:t>
      </w:r>
    </w:p>
    <w:p>
      <w:pPr>
        <w:pStyle w:val="ListBullet"/>
        <w:spacing w:after="60"/>
      </w:pPr>
      <w:r>
        <w:t>Be particularly careful with gifts involving government officials, procurement decisions, or regulated industries.</w:t>
      </w:r>
    </w:p>
    <w:p>
      <w:pPr>
        <w:pStyle w:val="ListBullet"/>
        <w:spacing w:after="60"/>
      </w:pPr>
      <w:r>
        <w:t>When a gift or invitation could reasonably create a conflict, disclose it before accepting or providing it.</w:t>
      </w:r>
    </w:p>
    <w:p>
      <w:pPr>
        <w:pStyle w:val="Heading1"/>
      </w:pPr>
      <w:r>
        <w:t>10. Workplace Safety and Well-Being</w:t>
      </w:r>
    </w:p>
    <w:p>
      <w:pPr>
        <w:pStyle w:val="ListBullet"/>
        <w:spacing w:after="60"/>
      </w:pPr>
      <w:r>
        <w:t>Maintain a safe, professional, and healthy working environment.</w:t>
      </w:r>
    </w:p>
    <w:p>
      <w:pPr>
        <w:pStyle w:val="ListBullet"/>
        <w:spacing w:after="60"/>
      </w:pPr>
      <w:r>
        <w:t>Do not engage in violence, threats, intimidation, or other behavior that creates an unsafe workplace.</w:t>
      </w:r>
    </w:p>
    <w:p>
      <w:pPr>
        <w:pStyle w:val="ListBullet"/>
        <w:spacing w:after="60"/>
      </w:pPr>
      <w:r>
        <w:t>Follow applicable health, safety, and emergency procedures.</w:t>
      </w:r>
    </w:p>
    <w:p>
      <w:pPr>
        <w:pStyle w:val="ListBullet"/>
        <w:spacing w:after="60"/>
      </w:pPr>
      <w:r>
        <w:t>Speak up when a working condition or behavior presents a serious safety concern.</w:t>
      </w:r>
    </w:p>
    <w:p>
      <w:pPr>
        <w:pStyle w:val="Heading1"/>
      </w:pPr>
      <w:r>
        <w:t>11. Public Communications and Social Media</w:t>
      </w:r>
    </w:p>
    <w:p>
      <w:pPr>
        <w:pStyle w:val="ListBullet"/>
        <w:spacing w:after="60"/>
      </w:pPr>
      <w:r>
        <w:t>Only authorized representatives may speak on behalf of the company.</w:t>
      </w:r>
    </w:p>
    <w:p>
      <w:pPr>
        <w:pStyle w:val="ListBullet"/>
        <w:spacing w:after="60"/>
      </w:pPr>
      <w:r>
        <w:t>When speaking personally, make clear that you are expressing personal views when confusion with company views is reasonably possible.</w:t>
      </w:r>
    </w:p>
    <w:p>
      <w:pPr>
        <w:pStyle w:val="ListBullet"/>
        <w:spacing w:after="60"/>
      </w:pPr>
      <w:r>
        <w:t>Protect confidential information and customer information in public communications.</w:t>
      </w:r>
    </w:p>
    <w:p>
      <w:pPr>
        <w:pStyle w:val="ListBullet"/>
        <w:spacing w:after="60"/>
      </w:pPr>
      <w:r>
        <w:t>Do not use social media or public forums to harass colleagues, customers, or partners.</w:t>
      </w:r>
    </w:p>
    <w:p>
      <w:pPr>
        <w:pStyle w:val="ListBullet"/>
        <w:spacing w:after="60"/>
      </w:pPr>
      <w:r>
        <w:t>Assume that public statements can have lasting professional and business consequences.</w:t>
      </w:r>
    </w:p>
    <w:p>
      <w:pPr>
        <w:pStyle w:val="Heading1"/>
      </w:pPr>
      <w:r>
        <w:t>12. Financial Integrity and Records</w:t>
      </w:r>
    </w:p>
    <w:p>
      <w:pPr>
        <w:pStyle w:val="ListBullet"/>
        <w:spacing w:after="60"/>
      </w:pPr>
      <w:r>
        <w:t>Record transactions and expenses accurately and honestly.</w:t>
      </w:r>
    </w:p>
    <w:p>
      <w:pPr>
        <w:pStyle w:val="ListBullet"/>
        <w:spacing w:after="60"/>
      </w:pPr>
      <w:r>
        <w:t>Never falsify, conceal, or manipulate financial or operational information.</w:t>
      </w:r>
    </w:p>
    <w:p>
      <w:pPr>
        <w:pStyle w:val="ListBullet"/>
        <w:spacing w:after="60"/>
      </w:pPr>
      <w:r>
        <w:t>Use company funds only for legitimate, authorized purposes.</w:t>
      </w:r>
    </w:p>
    <w:p>
      <w:pPr>
        <w:pStyle w:val="ListBullet"/>
        <w:spacing w:after="60"/>
      </w:pPr>
      <w:r>
        <w:t>Cooperate with appropriate audits, reviews, and compliance processes.</w:t>
      </w:r>
    </w:p>
    <w:p>
      <w:pPr>
        <w:pStyle w:val="Heading1"/>
      </w:pPr>
      <w:r>
        <w:t>13. Speaking Up and Reporting Concerns</w:t>
      </w:r>
    </w:p>
    <w:p>
      <w:r>
        <w:t>A strong culture depends on people being willing to raise concerns. If you see conduct that may violate this Code, company policy, the law, or basic ethical standards, speak up.</w:t>
      </w:r>
    </w:p>
    <w:p>
      <w:pPr>
        <w:pStyle w:val="ListNumber"/>
        <w:spacing w:after="60"/>
      </w:pPr>
      <w:r>
        <w:t>Raise the concern with your manager or another member of leadership.</w:t>
      </w:r>
    </w:p>
    <w:p>
      <w:pPr>
        <w:pStyle w:val="ListNumber"/>
        <w:spacing w:after="60"/>
      </w:pPr>
      <w:r>
        <w:t>If that is inappropriate or uncomfortable, use the company's designated reporting channel or another trusted leader.</w:t>
      </w:r>
    </w:p>
    <w:p>
      <w:pPr>
        <w:pStyle w:val="ListNumber"/>
        <w:spacing w:after="60"/>
      </w:pPr>
      <w:r>
        <w:t>Provide factual information and preserve relevant evidence; do not conduct your own investigation.</w:t>
      </w:r>
    </w:p>
    <w:p>
      <w:pPr>
        <w:pStyle w:val="ListNumber"/>
        <w:spacing w:after="60"/>
      </w:pPr>
      <w:r>
        <w:t>Cooperate honestly with any review or investigation.</w:t>
      </w:r>
    </w:p>
    <w:p>
      <w:r>
        <w:t>Reports will be handled as appropriately and confidentially as possible, consistent with the need to investigate and meet legal obligations. The company prohibits retaliation against anyone who raises a concern in good faith or participates honestly in an investigation.</w:t>
      </w:r>
    </w:p>
    <w:p>
      <w:pPr>
        <w:pStyle w:val="Heading1"/>
      </w:pPr>
      <w:r>
        <w:t>14. Investigations and Accountability</w:t>
      </w:r>
    </w:p>
    <w:p>
      <w:r>
        <w:t>Violations of this Code may result in corrective action, up to and including termination of employment or contract, and may also result in legal or regulatory action where appropriate. The response will consider the nature, severity, intent, impact, and circumstances of the conduct.</w:t>
      </w:r>
    </w:p>
    <w:p>
      <w:pPr>
        <w:pStyle w:val="ListBullet"/>
        <w:spacing w:after="60"/>
      </w:pPr>
      <w:r>
        <w:t>No employee is exempt from this Code because of title, seniority, ownership, performance, or business importance.</w:t>
      </w:r>
    </w:p>
    <w:p>
      <w:pPr>
        <w:pStyle w:val="ListBullet"/>
        <w:spacing w:after="60"/>
      </w:pPr>
      <w:r>
        <w:t>Managers have an additional responsibility to model expected behavior and respond appropriately to concerns.</w:t>
      </w:r>
    </w:p>
    <w:p>
      <w:pPr>
        <w:pStyle w:val="ListBullet"/>
        <w:spacing w:after="60"/>
      </w:pPr>
      <w:r>
        <w:t>Good-faith mistakes should be treated as opportunities to learn when they do not involve misconduct or concealment.</w:t>
      </w:r>
    </w:p>
    <w:p>
      <w:pPr>
        <w:pStyle w:val="Heading1"/>
      </w:pPr>
      <w:r>
        <w:t>15. Responsibilities of Leaders</w:t>
      </w:r>
    </w:p>
    <w:p>
      <w:pPr>
        <w:pStyle w:val="ListBullet"/>
        <w:spacing w:after="60"/>
      </w:pPr>
      <w:r>
        <w:t>Lead by example and demonstrate the standards in this Code.</w:t>
      </w:r>
    </w:p>
    <w:p>
      <w:pPr>
        <w:pStyle w:val="ListBullet"/>
        <w:spacing w:after="60"/>
      </w:pPr>
      <w:r>
        <w:t>Create an environment where people can disagree respectfully and raise concerns safely.</w:t>
      </w:r>
    </w:p>
    <w:p>
      <w:pPr>
        <w:pStyle w:val="ListBullet"/>
        <w:spacing w:after="60"/>
      </w:pPr>
      <w:r>
        <w:t>Never retaliate against or permit retaliation against a person who raises a good-faith concern.</w:t>
      </w:r>
    </w:p>
    <w:p>
      <w:pPr>
        <w:pStyle w:val="ListBullet"/>
        <w:spacing w:after="60"/>
      </w:pPr>
      <w:r>
        <w:t>Address misconduct consistently and promptly.</w:t>
      </w:r>
    </w:p>
    <w:p>
      <w:pPr>
        <w:pStyle w:val="ListBullet"/>
        <w:spacing w:after="60"/>
      </w:pPr>
      <w:r>
        <w:t>Do not allow business targets, deadlines, revenue, or customer pressure to justify unethical behavior.</w:t>
      </w:r>
    </w:p>
    <w:p>
      <w:pPr>
        <w:pStyle w:val="Heading1"/>
      </w:pPr>
      <w:r>
        <w:t>16. Our Commitment as a Company</w:t>
      </w:r>
    </w:p>
    <w:p>
      <w:r>
        <w:t>This Code is a foundation, not a complete list of every situation a person may encounter. When the right answer is unclear, we expect people to pause, ask questions, consider the impact of their actions, and choose the path that best protects people, customers, the company, and our long-term trust.</w:t>
      </w:r>
    </w:p>
    <w:p>
      <w:r>
        <w:t>We believe culture is created by what we do repeatedly. This Code therefore represents a commitment from the company and from every person who joins it: we will act with integrity, treat people with respect, take responsibility for our decisions, and earn the trust placed in us.</w:t>
      </w:r>
    </w:p>
    <w:p>
      <w:pPr>
        <w:pStyle w:val="Heading1"/>
      </w:pPr>
      <w:r>
        <w:t>17. Adoption and Review</w:t>
      </w:r>
    </w:p>
    <w:p>
      <w:r>
        <w:t>This Code of Conduct is adopted by the company's founders and is effective upon company formation. It should be reviewed periodically and updated as the company, its workforce, technology, customers, and legal obligations evolve.</w:t>
      </w:r>
    </w:p>
    <w:tbl>
      <w:tblPr>
        <w:tblW w:type="auto" w:w="0"/>
        <w:jc w:val="center"/>
        <w:tblLook w:firstColumn="1" w:firstRow="1" w:lastColumn="0" w:lastRow="0" w:noHBand="0" w:noVBand="1" w:val="04A0"/>
      </w:tblPr>
      <w:tblGrid>
        <w:gridCol w:w="4896"/>
        <w:gridCol w:w="4896"/>
      </w:tblGrid>
      <w:tr>
        <w:tc>
          <w:tcPr>
            <w:tcW w:type="dxa" w:w="4896"/>
            <w:vAlign w:val="center"/>
            <w:shd w:fill="EDEDED"/>
          </w:tcPr>
          <w:p>
            <w:r/>
            <w:r>
              <w:rPr>
                <w:rFonts w:ascii="Aptos" w:hAnsi="Aptos"/>
                <w:b/>
                <w:sz w:val="19"/>
              </w:rPr>
              <w:t>Approved by</w:t>
            </w:r>
          </w:p>
        </w:tc>
        <w:tc>
          <w:tcPr>
            <w:tcW w:type="dxa" w:w="4896"/>
            <w:vAlign w:val="center"/>
          </w:tcPr>
          <w:p>
            <w:r/>
            <w:r>
              <w:rPr>
                <w:rFonts w:ascii="Aptos" w:hAnsi="Aptos"/>
                <w:b w:val="0"/>
                <w:sz w:val="19"/>
              </w:rPr>
              <w:t>Founders / Board</w:t>
            </w:r>
          </w:p>
        </w:tc>
      </w:tr>
      <w:tr>
        <w:tc>
          <w:tcPr>
            <w:tcW w:type="dxa" w:w="4896"/>
            <w:vAlign w:val="center"/>
            <w:shd w:fill="EDEDED"/>
          </w:tcPr>
          <w:p>
            <w:r/>
            <w:r>
              <w:rPr>
                <w:rFonts w:ascii="Aptos" w:hAnsi="Aptos"/>
                <w:b/>
                <w:sz w:val="19"/>
              </w:rPr>
              <w:t>Effective date</w:t>
            </w:r>
          </w:p>
        </w:tc>
        <w:tc>
          <w:tcPr>
            <w:tcW w:type="dxa" w:w="4896"/>
            <w:vAlign w:val="center"/>
          </w:tcPr>
          <w:p>
            <w:r/>
            <w:r>
              <w:rPr>
                <w:rFonts w:ascii="Aptos" w:hAnsi="Aptos"/>
                <w:b w:val="0"/>
                <w:sz w:val="19"/>
              </w:rPr>
              <w:t>Upon Company Formation</w:t>
            </w:r>
          </w:p>
        </w:tc>
      </w:tr>
      <w:tr>
        <w:tc>
          <w:tcPr>
            <w:tcW w:type="dxa" w:w="4896"/>
            <w:vAlign w:val="center"/>
            <w:shd w:fill="EDEDED"/>
          </w:tcPr>
          <w:p>
            <w:r/>
            <w:r>
              <w:rPr>
                <w:rFonts w:ascii="Aptos" w:hAnsi="Aptos"/>
                <w:b/>
                <w:sz w:val="19"/>
              </w:rPr>
              <w:t>Version</w:t>
            </w:r>
          </w:p>
        </w:tc>
        <w:tc>
          <w:tcPr>
            <w:tcW w:type="dxa" w:w="4896"/>
            <w:vAlign w:val="center"/>
          </w:tcPr>
          <w:p>
            <w:r/>
            <w:r>
              <w:rPr>
                <w:rFonts w:ascii="Aptos" w:hAnsi="Aptos"/>
                <w:b w:val="0"/>
                <w:sz w:val="19"/>
              </w:rPr>
              <w:t>1.0</w:t>
            </w:r>
          </w:p>
        </w:tc>
      </w:tr>
      <w:tr>
        <w:tc>
          <w:tcPr>
            <w:tcW w:type="dxa" w:w="4896"/>
            <w:vAlign w:val="center"/>
            <w:shd w:fill="EDEDED"/>
          </w:tcPr>
          <w:p>
            <w:r/>
            <w:r>
              <w:rPr>
                <w:rFonts w:ascii="Aptos" w:hAnsi="Aptos"/>
                <w:b/>
                <w:sz w:val="19"/>
              </w:rPr>
              <w:t>Next review</w:t>
            </w:r>
          </w:p>
        </w:tc>
        <w:tc>
          <w:tcPr>
            <w:tcW w:type="dxa" w:w="4896"/>
            <w:vAlign w:val="center"/>
          </w:tcPr>
          <w:p>
            <w:r/>
            <w:r>
              <w:rPr>
                <w:rFonts w:ascii="Aptos" w:hAnsi="Aptos"/>
                <w:b w:val="0"/>
                <w:sz w:val="19"/>
              </w:rPr>
              <w:t>At least annually</w:t>
            </w:r>
          </w:p>
        </w:tc>
      </w:tr>
    </w:tbl>
    <w:p/>
    <w:p>
      <w:pPr>
        <w:jc w:val="center"/>
      </w:pPr>
      <w:r>
        <w:rPr>
          <w:b/>
          <w:sz w:val="26"/>
        </w:rPr>
        <w:t>“Do the right thing. Build trust. Take ownership.”</w:t>
      </w:r>
    </w:p>
    <w:sectPr w:rsidR="00FC693F" w:rsidRPr="0006063C" w:rsidSect="00034616">
      <w:footerReference w:type="default" r:id="rId9"/>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CODE OF CONDUCT  •  COMPANY FOUNDING DOCUMENT  •  VERSION 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dc:title>
  <dc:subject>Founding company Code of Conduct</dc:subject>
  <dc:creator>Company Founders</dc:creator>
  <cp:keywords>Code of Conduct, Ethics, Compliance, Company Culture</cp:keywords>
  <dc:description>generated by python-docx</dc:description>
  <cp:lastModifiedBy/>
  <cp:revision>1</cp:revision>
  <dcterms:created xsi:type="dcterms:W3CDTF">2013-12-23T23:15:00Z</dcterms:created>
  <dcterms:modified xsi:type="dcterms:W3CDTF">2013-12-23T23:15:00Z</dcterms:modified>
  <cp:category/>
</cp:coreProperties>
</file>